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2B79" w14:textId="750A336C" w:rsidR="00F0296E" w:rsidRDefault="00F0296E" w:rsidP="005E3A11"/>
    <w:p w14:paraId="23639C97" w14:textId="3F7B0521" w:rsidR="005E3A11" w:rsidRDefault="005E3A11" w:rsidP="005E3A11"/>
    <w:p w14:paraId="7B636C37" w14:textId="77777777" w:rsidR="005E3A11" w:rsidRPr="00A342FD" w:rsidRDefault="005E3A11" w:rsidP="005E3A11">
      <w:pPr>
        <w:rPr>
          <w:rFonts w:ascii="Times New Roman" w:hAnsi="Times New Roman" w:cs="Times New Roman"/>
          <w:b/>
          <w:sz w:val="24"/>
        </w:rPr>
      </w:pPr>
      <w:r w:rsidRPr="00A342FD">
        <w:rPr>
          <w:rFonts w:ascii="Times New Roman" w:hAnsi="Times New Roman" w:cs="Times New Roman"/>
          <w:b/>
          <w:sz w:val="24"/>
        </w:rPr>
        <w:t>OUTCOME MEASURES</w:t>
      </w:r>
    </w:p>
    <w:p w14:paraId="303B76E3" w14:textId="77777777" w:rsidR="005E3A11" w:rsidRPr="00A342FD" w:rsidRDefault="005E3A11" w:rsidP="005E3A11">
      <w:pPr>
        <w:rPr>
          <w:rFonts w:ascii="Times New Roman" w:hAnsi="Times New Roman" w:cs="Times New Roman"/>
          <w:b/>
        </w:rPr>
      </w:pPr>
      <w:r w:rsidRPr="00A342FD">
        <w:rPr>
          <w:rFonts w:ascii="Times New Roman" w:hAnsi="Times New Roman" w:cs="Times New Roman"/>
          <w:b/>
        </w:rPr>
        <w:t>01 – Children in Care by Placement Type</w:t>
      </w:r>
    </w:p>
    <w:p w14:paraId="744CB482" w14:textId="77777777" w:rsidR="005E3A11" w:rsidRPr="00A342FD" w:rsidRDefault="005E3A11" w:rsidP="005E3A11">
      <w:pPr>
        <w:rPr>
          <w:rFonts w:ascii="Times New Roman" w:hAnsi="Times New Roman" w:cs="Times New Roman"/>
          <w:color w:val="000000"/>
          <w:sz w:val="20"/>
          <w:szCs w:val="20"/>
        </w:rPr>
      </w:pPr>
      <w:r w:rsidRPr="00A342FD">
        <w:rPr>
          <w:rFonts w:ascii="Times New Roman" w:hAnsi="Times New Roman" w:cs="Times New Roman"/>
          <w:color w:val="000000"/>
          <w:sz w:val="20"/>
          <w:szCs w:val="20"/>
        </w:rPr>
        <w:t>This dashboard provides data on children in care by placement type.  “Care” refers to a Public Children Services Agency holding custody of a child more than 24 hours, with the child in a placement.  The report displays counts of children in each placement type as of the last day of each reporting period.</w:t>
      </w:r>
    </w:p>
    <w:p w14:paraId="3DB5DB75" w14:textId="77777777" w:rsidR="005E3A11" w:rsidRPr="00A342FD" w:rsidRDefault="005E3A11" w:rsidP="005E3A11">
      <w:pPr>
        <w:rPr>
          <w:rFonts w:ascii="Times New Roman" w:hAnsi="Times New Roman" w:cs="Times New Roman"/>
          <w:b/>
        </w:rPr>
      </w:pPr>
      <w:r w:rsidRPr="00A342FD">
        <w:rPr>
          <w:rFonts w:ascii="Times New Roman" w:hAnsi="Times New Roman" w:cs="Times New Roman"/>
          <w:b/>
        </w:rPr>
        <w:t>02 – Recurrence of Maltreatment</w:t>
      </w:r>
    </w:p>
    <w:p w14:paraId="04B0F7A4" w14:textId="77777777" w:rsidR="005E3A11" w:rsidRPr="00A342FD" w:rsidRDefault="005E3A11" w:rsidP="005E3A11">
      <w:pPr>
        <w:rPr>
          <w:rFonts w:ascii="Times New Roman" w:hAnsi="Times New Roman" w:cs="Times New Roman"/>
          <w:color w:val="000000"/>
          <w:sz w:val="20"/>
          <w:szCs w:val="20"/>
        </w:rPr>
      </w:pPr>
      <w:r w:rsidRPr="00A342FD">
        <w:rPr>
          <w:rFonts w:ascii="Times New Roman" w:hAnsi="Times New Roman" w:cs="Times New Roman"/>
          <w:color w:val="000000"/>
          <w:sz w:val="20"/>
          <w:szCs w:val="20"/>
        </w:rPr>
        <w:t>This report requires a 24-month measurement period.  Within the first 12 months, the report finds a child victim of a substantiated or indicated report.  If the child is then a victim of a substantiated or indicated maltreatment allegation within the next 365 days, the child is counted as experiencing recurrence of maltreatment.  The period filter refers to children who experienced recurrence of maltreatment during the stated quarter. </w:t>
      </w:r>
    </w:p>
    <w:p w14:paraId="141903C8" w14:textId="77777777" w:rsidR="005E3A11" w:rsidRPr="00A342FD" w:rsidRDefault="005E3A11" w:rsidP="005E3A11">
      <w:pPr>
        <w:rPr>
          <w:rFonts w:ascii="Times New Roman" w:hAnsi="Times New Roman" w:cs="Times New Roman"/>
          <w:b/>
        </w:rPr>
      </w:pPr>
      <w:r w:rsidRPr="00A342FD">
        <w:rPr>
          <w:rFonts w:ascii="Times New Roman" w:hAnsi="Times New Roman" w:cs="Times New Roman"/>
          <w:b/>
        </w:rPr>
        <w:t>03 – Child Abuse/Neglect Report Recurrence</w:t>
      </w:r>
    </w:p>
    <w:p w14:paraId="1EB2C1C9" w14:textId="77777777" w:rsidR="005E3A11" w:rsidRPr="00A342FD" w:rsidRDefault="005E3A11" w:rsidP="005E3A11">
      <w:pPr>
        <w:rPr>
          <w:rFonts w:ascii="Times New Roman" w:hAnsi="Times New Roman" w:cs="Times New Roman"/>
          <w:color w:val="000000"/>
          <w:sz w:val="20"/>
          <w:szCs w:val="20"/>
        </w:rPr>
      </w:pPr>
      <w:r w:rsidRPr="00A342FD">
        <w:rPr>
          <w:rFonts w:ascii="Times New Roman" w:hAnsi="Times New Roman" w:cs="Times New Roman"/>
          <w:color w:val="000000"/>
          <w:sz w:val="20"/>
          <w:szCs w:val="20"/>
        </w:rPr>
        <w:t>This report requires a 24-month measurement period.  Within the first 12 months, the report finds an Alleged Child Victim (ACV) or Child Subject of Report (CSR) of a screened in Child Abuse and/or Neglect (CA/N) report. If a child is an ACV or CSR on a subsequent screened in CA/N report that occurs within the next 365 days, then that child is counted as having report recurrence.  This report is considering report recurrence regardless of report disposition. The period filter refers to children who experienced report recurrence during the stated quarter.</w:t>
      </w:r>
    </w:p>
    <w:p w14:paraId="4AC1035A" w14:textId="77777777" w:rsidR="005E3A11" w:rsidRPr="00A342FD" w:rsidRDefault="005E3A11" w:rsidP="005E3A11">
      <w:pPr>
        <w:rPr>
          <w:rFonts w:ascii="Times New Roman" w:hAnsi="Times New Roman" w:cs="Times New Roman"/>
          <w:b/>
        </w:rPr>
      </w:pPr>
      <w:r w:rsidRPr="00A342FD">
        <w:rPr>
          <w:rFonts w:ascii="Times New Roman" w:hAnsi="Times New Roman" w:cs="Times New Roman"/>
          <w:b/>
        </w:rPr>
        <w:t>04 – Re-entry into Care</w:t>
      </w:r>
    </w:p>
    <w:p w14:paraId="69AA6A89" w14:textId="77777777" w:rsidR="005E3A11" w:rsidRPr="00A342FD" w:rsidRDefault="005E3A11" w:rsidP="005E3A11">
      <w:pPr>
        <w:rPr>
          <w:rFonts w:ascii="Times New Roman" w:hAnsi="Times New Roman" w:cs="Times New Roman"/>
          <w:color w:val="000000"/>
          <w:sz w:val="20"/>
          <w:szCs w:val="20"/>
        </w:rPr>
      </w:pPr>
      <w:r w:rsidRPr="00A342FD">
        <w:rPr>
          <w:rFonts w:ascii="Times New Roman" w:hAnsi="Times New Roman" w:cs="Times New Roman"/>
          <w:color w:val="000000"/>
          <w:sz w:val="20"/>
          <w:szCs w:val="20"/>
        </w:rPr>
        <w:t>This report requires a 13-month measurement period. Within the first month, a child exits care.  “Care” refers to a Public Children Services Agency holding custody of a child more than 24 hours, with the child in a placement.  If the child re-enters care within the next 12 months following exit, that child is counted as having re-entered care.  The period filter is based on the last quarter of the 12-month observation period following exit. </w:t>
      </w:r>
    </w:p>
    <w:p w14:paraId="49C5F79D" w14:textId="77777777" w:rsidR="005E3A11" w:rsidRPr="00A342FD" w:rsidRDefault="005E3A11" w:rsidP="005E3A11">
      <w:pPr>
        <w:rPr>
          <w:rFonts w:ascii="Times New Roman" w:hAnsi="Times New Roman" w:cs="Times New Roman"/>
          <w:b/>
        </w:rPr>
      </w:pPr>
      <w:r w:rsidRPr="00A342FD">
        <w:rPr>
          <w:rFonts w:ascii="Times New Roman" w:hAnsi="Times New Roman" w:cs="Times New Roman"/>
          <w:b/>
        </w:rPr>
        <w:t>05 – Children Aging Out of Care</w:t>
      </w:r>
    </w:p>
    <w:p w14:paraId="4AB926D0" w14:textId="77777777" w:rsidR="005E3A11" w:rsidRDefault="005E3A11" w:rsidP="005E3A11">
      <w:pPr>
        <w:rPr>
          <w:rFonts w:ascii="Calibri,sans-serif,serif" w:hAnsi="Calibri,sans-serif,serif"/>
          <w:color w:val="000000"/>
          <w:sz w:val="20"/>
          <w:szCs w:val="20"/>
        </w:rPr>
      </w:pPr>
      <w:r w:rsidRPr="00A342FD">
        <w:rPr>
          <w:rFonts w:ascii="Times New Roman" w:hAnsi="Times New Roman" w:cs="Times New Roman"/>
          <w:color w:val="000000"/>
          <w:sz w:val="20"/>
          <w:szCs w:val="20"/>
        </w:rPr>
        <w:t>This dashboard provides the number of children discharged from care during the reporting period who were 18 years or older on the day of their discharge.  "Care” refers to a Public Children Services Agency holding custody of a child more than 24 hours, with the child in a placement.</w:t>
      </w:r>
    </w:p>
    <w:p w14:paraId="3C12DF2A" w14:textId="77777777" w:rsidR="005E3A11" w:rsidRDefault="005E3A11" w:rsidP="005E3A11">
      <w:pPr>
        <w:rPr>
          <w:rFonts w:ascii="Times New Roman" w:hAnsi="Times New Roman" w:cs="Times New Roman"/>
          <w:b/>
          <w:sz w:val="24"/>
        </w:rPr>
      </w:pPr>
      <w:r w:rsidRPr="00A342FD">
        <w:rPr>
          <w:rFonts w:ascii="Times New Roman" w:hAnsi="Times New Roman" w:cs="Times New Roman"/>
          <w:b/>
          <w:sz w:val="24"/>
        </w:rPr>
        <w:t>PRACTICE MEASURES</w:t>
      </w:r>
    </w:p>
    <w:p w14:paraId="3B0833C9" w14:textId="77777777" w:rsidR="005E3A11" w:rsidRDefault="005E3A11" w:rsidP="005E3A11">
      <w:pPr>
        <w:rPr>
          <w:rFonts w:ascii="Times New Roman" w:hAnsi="Times New Roman" w:cs="Times New Roman"/>
          <w:b/>
        </w:rPr>
      </w:pPr>
      <w:r w:rsidRPr="00A342FD">
        <w:rPr>
          <w:rFonts w:ascii="Times New Roman" w:hAnsi="Times New Roman" w:cs="Times New Roman"/>
          <w:b/>
        </w:rPr>
        <w:t>01 – Safety Assessment Completion</w:t>
      </w:r>
    </w:p>
    <w:p w14:paraId="44B78494" w14:textId="77777777" w:rsidR="005E3A11" w:rsidRPr="001F62CB" w:rsidRDefault="005E3A11" w:rsidP="005E3A11">
      <w:pPr>
        <w:rPr>
          <w:rFonts w:ascii="Times New Roman" w:hAnsi="Times New Roman" w:cs="Times New Roman"/>
          <w:color w:val="000000"/>
          <w:sz w:val="20"/>
          <w:szCs w:val="20"/>
        </w:rPr>
      </w:pPr>
      <w:r w:rsidRPr="001F62CB">
        <w:rPr>
          <w:rFonts w:ascii="Times New Roman" w:hAnsi="Times New Roman" w:cs="Times New Roman"/>
          <w:color w:val="000000"/>
          <w:sz w:val="20"/>
          <w:szCs w:val="20"/>
        </w:rPr>
        <w:t>This dashboard provides data on the number of safety assessments completed timely of those completed during the period.  The timely measure indicates the number of Safety Assessments approved within seven working days.  The not timely measure indicates the number of safety assessments that were approved in eight or more working days.  Approved extensions and waivers are counted separately and are not included in the timely measurements.</w:t>
      </w:r>
    </w:p>
    <w:p w14:paraId="4F660472" w14:textId="77777777" w:rsidR="005E3A11" w:rsidRDefault="005E3A11" w:rsidP="005E3A11">
      <w:pPr>
        <w:rPr>
          <w:rFonts w:ascii="Times New Roman" w:hAnsi="Times New Roman" w:cs="Times New Roman"/>
          <w:b/>
          <w:sz w:val="24"/>
        </w:rPr>
      </w:pPr>
      <w:r>
        <w:rPr>
          <w:rFonts w:ascii="Times New Roman" w:hAnsi="Times New Roman" w:cs="Times New Roman"/>
          <w:b/>
          <w:sz w:val="24"/>
        </w:rPr>
        <w:t>02 – Family Assessment Completion</w:t>
      </w:r>
    </w:p>
    <w:p w14:paraId="17C56BB9" w14:textId="77777777" w:rsidR="005E3A11" w:rsidRDefault="005E3A11" w:rsidP="005E3A11">
      <w:pPr>
        <w:rPr>
          <w:rFonts w:ascii="Times New Roman" w:hAnsi="Times New Roman" w:cs="Times New Roman"/>
          <w:color w:val="000000"/>
          <w:sz w:val="20"/>
          <w:szCs w:val="20"/>
        </w:rPr>
      </w:pPr>
      <w:r w:rsidRPr="001F62CB">
        <w:rPr>
          <w:rFonts w:ascii="Times New Roman" w:hAnsi="Times New Roman" w:cs="Times New Roman"/>
          <w:color w:val="000000"/>
          <w:sz w:val="20"/>
          <w:szCs w:val="20"/>
        </w:rPr>
        <w:t>This dashboard provides data on the number of Family Assessments completed timely of those completed during the period</w:t>
      </w:r>
      <w:r w:rsidRPr="001F62CB">
        <w:rPr>
          <w:rFonts w:ascii="Times New Roman" w:hAnsi="Times New Roman" w:cs="Times New Roman"/>
          <w:color w:val="000000"/>
        </w:rPr>
        <w:t xml:space="preserve">.  </w:t>
      </w:r>
      <w:r w:rsidRPr="001F62CB">
        <w:rPr>
          <w:rFonts w:ascii="Times New Roman" w:hAnsi="Times New Roman" w:cs="Times New Roman"/>
          <w:color w:val="000000"/>
          <w:sz w:val="20"/>
          <w:szCs w:val="20"/>
        </w:rPr>
        <w:t>Family Assessments are "Timely" if they are approved within 45 days from the screened in report; or approved within 60 days from the screened in report if an extension of the Family Assessment is approved on or before the 45th day.  Family Assessments with a waiver for completion are counted separately.</w:t>
      </w:r>
    </w:p>
    <w:p w14:paraId="0BC257AD" w14:textId="77777777" w:rsidR="005E3A11" w:rsidRDefault="005E3A11" w:rsidP="005E3A11">
      <w:pPr>
        <w:rPr>
          <w:rFonts w:ascii="Times New Roman" w:hAnsi="Times New Roman" w:cs="Times New Roman"/>
          <w:b/>
          <w:sz w:val="24"/>
        </w:rPr>
      </w:pPr>
      <w:r>
        <w:rPr>
          <w:rFonts w:ascii="Times New Roman" w:hAnsi="Times New Roman" w:cs="Times New Roman"/>
          <w:b/>
          <w:sz w:val="24"/>
        </w:rPr>
        <w:lastRenderedPageBreak/>
        <w:t>03 – Initial Case Plan Completion</w:t>
      </w:r>
    </w:p>
    <w:p w14:paraId="39AA358E" w14:textId="77777777" w:rsidR="005E3A11" w:rsidRDefault="005E3A11" w:rsidP="005E3A11">
      <w:pPr>
        <w:rPr>
          <w:rFonts w:ascii="Times New Roman" w:hAnsi="Times New Roman" w:cs="Times New Roman"/>
          <w:color w:val="000000"/>
          <w:sz w:val="20"/>
          <w:szCs w:val="20"/>
        </w:rPr>
      </w:pPr>
      <w:r w:rsidRPr="001F62CB">
        <w:rPr>
          <w:rFonts w:ascii="Times New Roman" w:hAnsi="Times New Roman" w:cs="Times New Roman"/>
          <w:color w:val="000000"/>
          <w:sz w:val="20"/>
          <w:szCs w:val="20"/>
        </w:rPr>
        <w:t>This dashboard provides data on the number of Initial Case Plans completed timely of those completed during the period. Initial Case Plans are "Timely" if completed within 30 days from whichever of the following trigger events occur first: The date the PCSA files a complaint alleging the child is abused, neglected or dependent; the date the PCSA is granted temporary custody of a child or the date the PCSA is granted Protective Supervision; the date of placement for the child; the date of Family Assessment approval for cases that do not have court involvement Initial Case plans that are due and are not yet completed are counted as "Not Completed Timely."</w:t>
      </w:r>
    </w:p>
    <w:p w14:paraId="51D55AC8" w14:textId="77777777" w:rsidR="005E3A11" w:rsidRDefault="005E3A11" w:rsidP="005E3A11">
      <w:pPr>
        <w:rPr>
          <w:rFonts w:ascii="Times New Roman" w:hAnsi="Times New Roman" w:cs="Times New Roman"/>
          <w:b/>
          <w:sz w:val="24"/>
        </w:rPr>
      </w:pPr>
      <w:r>
        <w:rPr>
          <w:rFonts w:ascii="Times New Roman" w:hAnsi="Times New Roman" w:cs="Times New Roman"/>
          <w:b/>
          <w:sz w:val="24"/>
        </w:rPr>
        <w:t>04 – Caseworker Visits with Children</w:t>
      </w:r>
    </w:p>
    <w:p w14:paraId="01088E77" w14:textId="77777777" w:rsidR="005E3A11" w:rsidRPr="0000557F" w:rsidRDefault="005E3A11" w:rsidP="005E3A11">
      <w:pPr>
        <w:rPr>
          <w:rFonts w:ascii="Times New Roman" w:hAnsi="Times New Roman" w:cs="Times New Roman"/>
          <w:color w:val="000000"/>
          <w:sz w:val="20"/>
          <w:szCs w:val="18"/>
        </w:rPr>
      </w:pPr>
      <w:r w:rsidRPr="0000557F">
        <w:rPr>
          <w:rFonts w:ascii="Times New Roman" w:hAnsi="Times New Roman" w:cs="Times New Roman"/>
          <w:color w:val="000000"/>
          <w:sz w:val="20"/>
          <w:szCs w:val="18"/>
        </w:rPr>
        <w:t>This dashboard provides data on monthly, completed caseworker visits with children on an open case.  This includes cases where services are being provided to the family in their home as Voluntary or Protective Supervision Cases, and cases where the child is in the custody of the Public Children Services Agency.</w:t>
      </w:r>
    </w:p>
    <w:p w14:paraId="404E1C9C" w14:textId="77777777" w:rsidR="005E3A11" w:rsidRDefault="005E3A11" w:rsidP="005E3A11">
      <w:pPr>
        <w:rPr>
          <w:rFonts w:ascii="Times New Roman" w:hAnsi="Times New Roman" w:cs="Times New Roman"/>
          <w:b/>
          <w:sz w:val="24"/>
        </w:rPr>
      </w:pPr>
      <w:r>
        <w:rPr>
          <w:rFonts w:ascii="Times New Roman" w:hAnsi="Times New Roman" w:cs="Times New Roman"/>
          <w:b/>
          <w:sz w:val="24"/>
        </w:rPr>
        <w:t>05 – Caseworker Visits with Adults</w:t>
      </w:r>
    </w:p>
    <w:p w14:paraId="0FAC5B0D" w14:textId="77777777" w:rsidR="005E3A11" w:rsidRPr="0000557F" w:rsidRDefault="005E3A11" w:rsidP="005E3A11">
      <w:pPr>
        <w:rPr>
          <w:rFonts w:ascii="Times New Roman" w:hAnsi="Times New Roman" w:cs="Times New Roman"/>
          <w:color w:val="000000"/>
          <w:sz w:val="20"/>
          <w:szCs w:val="20"/>
        </w:rPr>
      </w:pPr>
      <w:r w:rsidRPr="0000557F">
        <w:rPr>
          <w:rFonts w:ascii="Times New Roman" w:hAnsi="Times New Roman" w:cs="Times New Roman"/>
          <w:color w:val="000000"/>
          <w:sz w:val="20"/>
          <w:szCs w:val="20"/>
        </w:rPr>
        <w:t>This dashboard provides data on monthly, completed caseworker visits with adults on an open case.  This includes cases where services are being provided to the family in their home as Voluntary or Protective Supervision Cases, and cases where the child is in the custody of the Public Children Services Agency.</w:t>
      </w:r>
    </w:p>
    <w:p w14:paraId="622DC083" w14:textId="77777777" w:rsidR="005E3A11" w:rsidRDefault="005E3A11" w:rsidP="005E3A11">
      <w:pPr>
        <w:rPr>
          <w:rFonts w:ascii="Times New Roman" w:hAnsi="Times New Roman" w:cs="Times New Roman"/>
          <w:b/>
          <w:sz w:val="24"/>
        </w:rPr>
      </w:pPr>
      <w:r>
        <w:rPr>
          <w:rFonts w:ascii="Times New Roman" w:hAnsi="Times New Roman" w:cs="Times New Roman"/>
          <w:b/>
          <w:sz w:val="24"/>
        </w:rPr>
        <w:t>06 – Pending Overdue Child Abuse and/or Neglect Intakes</w:t>
      </w:r>
    </w:p>
    <w:p w14:paraId="103F43AD" w14:textId="77777777" w:rsidR="005E3A11" w:rsidRDefault="005E3A11" w:rsidP="005E3A11">
      <w:pPr>
        <w:rPr>
          <w:rFonts w:ascii="Times New Roman" w:hAnsi="Times New Roman" w:cs="Times New Roman"/>
          <w:color w:val="000000"/>
          <w:sz w:val="20"/>
          <w:szCs w:val="20"/>
        </w:rPr>
      </w:pPr>
      <w:r w:rsidRPr="008F2B02">
        <w:rPr>
          <w:rFonts w:ascii="Times New Roman" w:hAnsi="Times New Roman" w:cs="Times New Roman"/>
          <w:color w:val="000000"/>
          <w:sz w:val="20"/>
          <w:szCs w:val="20"/>
        </w:rPr>
        <w:t>This dashboard provides data on Child Abuse and/or Neglect Intakes where the Assessment/Investigation (AI) is not completed and overdue as of the last day of the period.  Intake AI is considered “Timely” if the Intake AI completion date occurs within 45 days or less of the screening decision date.  If a 15-day extension is approved on or before the 45th day, the Intake AI completion date must occur within 60 days or less of the screening decision date.</w:t>
      </w:r>
    </w:p>
    <w:p w14:paraId="6613EE68" w14:textId="77777777" w:rsidR="005E3A11" w:rsidRDefault="005E3A11" w:rsidP="005E3A11">
      <w:pPr>
        <w:rPr>
          <w:rFonts w:ascii="Times New Roman" w:hAnsi="Times New Roman" w:cs="Times New Roman"/>
          <w:b/>
          <w:sz w:val="24"/>
        </w:rPr>
      </w:pPr>
      <w:r>
        <w:rPr>
          <w:rFonts w:ascii="Times New Roman" w:hAnsi="Times New Roman" w:cs="Times New Roman"/>
          <w:b/>
          <w:sz w:val="24"/>
        </w:rPr>
        <w:t>07 – Timeliness of Child Abuse and/or Neglect Intakes</w:t>
      </w:r>
    </w:p>
    <w:p w14:paraId="25ADEC37" w14:textId="77777777" w:rsidR="005E3A11" w:rsidRDefault="005E3A11" w:rsidP="005E3A11">
      <w:pPr>
        <w:rPr>
          <w:rFonts w:ascii="Times New Roman" w:hAnsi="Times New Roman" w:cs="Times New Roman"/>
          <w:color w:val="000000"/>
          <w:sz w:val="20"/>
          <w:szCs w:val="20"/>
        </w:rPr>
      </w:pPr>
      <w:r w:rsidRPr="008F2B02">
        <w:rPr>
          <w:rFonts w:ascii="Times New Roman" w:hAnsi="Times New Roman" w:cs="Times New Roman"/>
          <w:color w:val="000000"/>
          <w:sz w:val="20"/>
          <w:szCs w:val="20"/>
        </w:rPr>
        <w:t>This dashboard provides data on the number of Assessment/Investigation (AI) of Child Abuse and/or Neglect Intakes completed timely of those due during the period.  Intake AI is considered “Timely” if the Intake AI completion date occurs within 45 days or less of the screening decision date.  If a 15-day extension is approved on or before the 45th day, the Intake AI completion date must occur within 60 days or less of the screening decision date.  The dashboard also displays a count of pending intakes that are overdue.</w:t>
      </w:r>
    </w:p>
    <w:p w14:paraId="1C4BCB0E" w14:textId="77777777" w:rsidR="005E3A11" w:rsidRDefault="005E3A11" w:rsidP="005E3A11">
      <w:pPr>
        <w:rPr>
          <w:rFonts w:ascii="Times New Roman" w:hAnsi="Times New Roman" w:cs="Times New Roman"/>
          <w:b/>
          <w:sz w:val="28"/>
        </w:rPr>
      </w:pPr>
      <w:r w:rsidRPr="008F2B02">
        <w:rPr>
          <w:rFonts w:ascii="Times New Roman" w:hAnsi="Times New Roman" w:cs="Times New Roman"/>
          <w:b/>
          <w:sz w:val="28"/>
        </w:rPr>
        <w:t>SYSTEM MEASURES</w:t>
      </w:r>
    </w:p>
    <w:p w14:paraId="22B9A018" w14:textId="77777777" w:rsidR="005E3A11" w:rsidRDefault="005E3A11" w:rsidP="005E3A11">
      <w:pPr>
        <w:rPr>
          <w:rFonts w:ascii="Times New Roman" w:hAnsi="Times New Roman" w:cs="Times New Roman"/>
          <w:b/>
          <w:sz w:val="24"/>
        </w:rPr>
      </w:pPr>
      <w:r>
        <w:rPr>
          <w:rFonts w:ascii="Times New Roman" w:hAnsi="Times New Roman" w:cs="Times New Roman"/>
          <w:b/>
          <w:sz w:val="24"/>
        </w:rPr>
        <w:t>01 – Caseworker Caseload Estimates</w:t>
      </w:r>
    </w:p>
    <w:p w14:paraId="463F818D" w14:textId="77777777" w:rsidR="005E3A11" w:rsidRDefault="005E3A11" w:rsidP="005E3A11">
      <w:pPr>
        <w:rPr>
          <w:rFonts w:ascii="Times New Roman" w:hAnsi="Times New Roman" w:cs="Times New Roman"/>
          <w:color w:val="000000"/>
          <w:sz w:val="20"/>
          <w:szCs w:val="20"/>
        </w:rPr>
      </w:pPr>
      <w:r w:rsidRPr="008F2B02">
        <w:rPr>
          <w:rFonts w:ascii="Times New Roman" w:hAnsi="Times New Roman" w:cs="Times New Roman"/>
          <w:color w:val="000000"/>
          <w:sz w:val="20"/>
          <w:szCs w:val="20"/>
        </w:rPr>
        <w:t>This dashboard estimates the average caseload of workers who have been employed by the agency for at least one year as of the end of the quarter.  The assessment/investigation worker report provides an average of assignments for workers assigned to cases as of the end of the quarter with the role of assessor investigator or assessment investigation worker.  The ongoing worker report provides an average of assignments for workers assigned to cases as of the end of the quarter with the role of primary worker, adoption worker, or caseworker.</w:t>
      </w:r>
    </w:p>
    <w:p w14:paraId="0D59C6FB" w14:textId="77777777" w:rsidR="005E3A11" w:rsidRDefault="005E3A11" w:rsidP="005E3A11">
      <w:pPr>
        <w:rPr>
          <w:rFonts w:ascii="Times New Roman" w:hAnsi="Times New Roman" w:cs="Times New Roman"/>
          <w:b/>
          <w:sz w:val="24"/>
        </w:rPr>
      </w:pPr>
      <w:r w:rsidRPr="008F2B02">
        <w:rPr>
          <w:rFonts w:ascii="Times New Roman" w:hAnsi="Times New Roman" w:cs="Times New Roman"/>
          <w:b/>
          <w:sz w:val="24"/>
        </w:rPr>
        <w:t>02</w:t>
      </w:r>
      <w:r>
        <w:rPr>
          <w:rFonts w:ascii="Times New Roman" w:hAnsi="Times New Roman" w:cs="Times New Roman"/>
          <w:b/>
          <w:sz w:val="24"/>
        </w:rPr>
        <w:t xml:space="preserve"> – Caseworker Counts</w:t>
      </w:r>
    </w:p>
    <w:p w14:paraId="48334CF8" w14:textId="77777777" w:rsidR="005E3A11" w:rsidRDefault="005E3A11" w:rsidP="005E3A11">
      <w:pPr>
        <w:rPr>
          <w:rFonts w:ascii="Times New Roman" w:hAnsi="Times New Roman" w:cs="Times New Roman"/>
          <w:color w:val="000000"/>
          <w:sz w:val="20"/>
          <w:szCs w:val="20"/>
        </w:rPr>
      </w:pPr>
      <w:r w:rsidRPr="008F2B02">
        <w:rPr>
          <w:rFonts w:ascii="Times New Roman" w:hAnsi="Times New Roman" w:cs="Times New Roman"/>
          <w:color w:val="000000"/>
          <w:sz w:val="20"/>
          <w:szCs w:val="20"/>
        </w:rPr>
        <w:t>This dashboard counts the number of employees as of the last day of the quarter who have an active case assignment with the role of primary worker, adoption worker, caseworker, assessor investigator or assessment investigation worker.</w:t>
      </w:r>
    </w:p>
    <w:p w14:paraId="731CB25D" w14:textId="77777777" w:rsidR="005E3A11" w:rsidRDefault="005E3A11" w:rsidP="005E3A11">
      <w:pPr>
        <w:rPr>
          <w:rFonts w:ascii="Times New Roman" w:hAnsi="Times New Roman" w:cs="Times New Roman"/>
          <w:b/>
          <w:sz w:val="24"/>
        </w:rPr>
      </w:pPr>
      <w:r>
        <w:rPr>
          <w:rFonts w:ascii="Times New Roman" w:hAnsi="Times New Roman" w:cs="Times New Roman"/>
          <w:b/>
          <w:sz w:val="24"/>
        </w:rPr>
        <w:t>03 – Intake Assessment/Screening Overview</w:t>
      </w:r>
    </w:p>
    <w:p w14:paraId="2EF385AF" w14:textId="77777777" w:rsidR="005E3A11" w:rsidRDefault="005E3A11" w:rsidP="005E3A11">
      <w:pPr>
        <w:rPr>
          <w:rFonts w:ascii="Times New Roman" w:hAnsi="Times New Roman" w:cs="Times New Roman"/>
          <w:b/>
          <w:sz w:val="24"/>
        </w:rPr>
      </w:pPr>
      <w:r w:rsidRPr="00730092">
        <w:rPr>
          <w:rFonts w:ascii="Times New Roman" w:hAnsi="Times New Roman" w:cs="Times New Roman"/>
          <w:color w:val="000000"/>
          <w:sz w:val="20"/>
          <w:szCs w:val="20"/>
        </w:rPr>
        <w:lastRenderedPageBreak/>
        <w:t xml:space="preserve">This dashboard provides the number of intakes received during the reporting period, how many of these intakes were screened in and screened in AR, and the percentage that were screened in or screened in AR.  Intakes are included in the reporting period based on their received dates.  Intakes included in the report must have category code of CA/N or Stranger Danger. </w:t>
      </w:r>
      <w:r w:rsidRPr="00730092">
        <w:rPr>
          <w:rFonts w:ascii="Times New Roman" w:hAnsi="Times New Roman" w:cs="Times New Roman"/>
          <w:b/>
          <w:sz w:val="24"/>
        </w:rPr>
        <w:t xml:space="preserve"> </w:t>
      </w:r>
    </w:p>
    <w:p w14:paraId="4F5C53A1" w14:textId="77777777" w:rsidR="005E3A11" w:rsidRDefault="005E3A11" w:rsidP="005E3A11">
      <w:pPr>
        <w:rPr>
          <w:rFonts w:ascii="Times New Roman" w:hAnsi="Times New Roman" w:cs="Times New Roman"/>
          <w:b/>
          <w:sz w:val="24"/>
        </w:rPr>
      </w:pPr>
      <w:r>
        <w:rPr>
          <w:rFonts w:ascii="Times New Roman" w:hAnsi="Times New Roman" w:cs="Times New Roman"/>
          <w:b/>
          <w:sz w:val="24"/>
        </w:rPr>
        <w:t>04 – Transfers to Ongoing by Risk Level</w:t>
      </w:r>
    </w:p>
    <w:p w14:paraId="24012527" w14:textId="77777777" w:rsidR="005E3A11" w:rsidRPr="00BA484D" w:rsidRDefault="005E3A11" w:rsidP="005E3A11">
      <w:pPr>
        <w:rPr>
          <w:rFonts w:ascii="Times New Roman" w:hAnsi="Times New Roman" w:cs="Times New Roman"/>
          <w:b/>
          <w:sz w:val="24"/>
        </w:rPr>
      </w:pPr>
      <w:r w:rsidRPr="00BA484D">
        <w:rPr>
          <w:rFonts w:ascii="Times New Roman" w:hAnsi="Times New Roman" w:cs="Times New Roman"/>
          <w:color w:val="000000"/>
          <w:sz w:val="20"/>
          <w:szCs w:val="20"/>
        </w:rPr>
        <w:t>This dashboard utilizes the family assessment to determine cases transferred to ongoing or alternative response ongoing during the period by the risk level as indicated on the actuarial tool in the family assessment.  It also includes the percentage of cases transferred to ongoing by final risk level.  The base data first looks for the approved family assessment. </w:t>
      </w:r>
    </w:p>
    <w:p w14:paraId="6D808645" w14:textId="62E01A58" w:rsidR="005E3A11" w:rsidRPr="005E3A11" w:rsidRDefault="005E3A11" w:rsidP="005E3A11">
      <w:bookmarkStart w:id="0" w:name="_GoBack"/>
      <w:bookmarkEnd w:id="0"/>
    </w:p>
    <w:sectPr w:rsidR="005E3A11" w:rsidRPr="005E3A11" w:rsidSect="00292D86">
      <w:headerReference w:type="default" r:id="rId10"/>
      <w:footerReference w:type="default" r:id="rId11"/>
      <w:pgSz w:w="12240" w:h="15840"/>
      <w:pgMar w:top="1260" w:right="1260" w:bottom="1440" w:left="1440" w:header="540" w:footer="1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0F3A" w14:textId="77777777" w:rsidR="00B643B7" w:rsidRDefault="00B643B7" w:rsidP="00B643B7">
      <w:pPr>
        <w:spacing w:after="0" w:line="240" w:lineRule="auto"/>
      </w:pPr>
      <w:r>
        <w:separator/>
      </w:r>
    </w:p>
  </w:endnote>
  <w:endnote w:type="continuationSeparator" w:id="0">
    <w:p w14:paraId="2D500CD6" w14:textId="77777777" w:rsidR="00B643B7" w:rsidRDefault="00B643B7" w:rsidP="00B6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sans-serif,serif">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925051"/>
      <w:docPartObj>
        <w:docPartGallery w:val="Page Numbers (Bottom of Page)"/>
        <w:docPartUnique/>
      </w:docPartObj>
    </w:sdtPr>
    <w:sdtEndPr/>
    <w:sdtContent>
      <w:sdt>
        <w:sdtPr>
          <w:id w:val="-2022687396"/>
          <w:docPartObj>
            <w:docPartGallery w:val="Page Numbers (Top of Page)"/>
            <w:docPartUnique/>
          </w:docPartObj>
        </w:sdtPr>
        <w:sdtEndPr/>
        <w:sdtContent>
          <w:p w14:paraId="428DF905" w14:textId="64D5833B" w:rsidR="00B643B7" w:rsidRDefault="004B62E0">
            <w:pPr>
              <w:pStyle w:val="Footer"/>
              <w:jc w:val="right"/>
            </w:pPr>
            <w:r>
              <w:rPr>
                <w:noProof/>
              </w:rPr>
              <mc:AlternateContent>
                <mc:Choice Requires="wps">
                  <w:drawing>
                    <wp:anchor distT="0" distB="0" distL="114300" distR="114300" simplePos="0" relativeHeight="251659264" behindDoc="0" locked="0" layoutInCell="1" allowOverlap="1" wp14:anchorId="6E18596E" wp14:editId="622D277D">
                      <wp:simplePos x="0" y="0"/>
                      <wp:positionH relativeFrom="column">
                        <wp:posOffset>2091104</wp:posOffset>
                      </wp:positionH>
                      <wp:positionV relativeFrom="paragraph">
                        <wp:posOffset>-207841</wp:posOffset>
                      </wp:positionV>
                      <wp:extent cx="1950720" cy="379828"/>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1950720" cy="379828"/>
                              </a:xfrm>
                              <a:prstGeom prst="rect">
                                <a:avLst/>
                              </a:prstGeom>
                              <a:solidFill>
                                <a:schemeClr val="lt1"/>
                              </a:solidFill>
                              <a:ln w="6350">
                                <a:noFill/>
                              </a:ln>
                            </wps:spPr>
                            <wps:txbx>
                              <w:txbxContent>
                                <w:p w14:paraId="2D2B852C" w14:textId="28EE286F" w:rsidR="004B62E0" w:rsidRDefault="004B62E0">
                                  <w:r>
                                    <w:rPr>
                                      <w:noProof/>
                                    </w:rPr>
                                    <w:drawing>
                                      <wp:inline distT="0" distB="0" distL="0" distR="0" wp14:anchorId="5391E3F1" wp14:editId="596605DC">
                                        <wp:extent cx="1761490" cy="278157"/>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JFS Logo.gif"/>
                                                <pic:cNvPicPr/>
                                              </pic:nvPicPr>
                                              <pic:blipFill>
                                                <a:blip r:embed="rId1">
                                                  <a:extLst>
                                                    <a:ext uri="{28A0092B-C50C-407E-A947-70E740481C1C}">
                                                      <a14:useLocalDpi xmlns:a14="http://schemas.microsoft.com/office/drawing/2010/main" val="0"/>
                                                    </a:ext>
                                                  </a:extLst>
                                                </a:blip>
                                                <a:stretch>
                                                  <a:fillRect/>
                                                </a:stretch>
                                              </pic:blipFill>
                                              <pic:spPr>
                                                <a:xfrm>
                                                  <a:off x="0" y="0"/>
                                                  <a:ext cx="1761490" cy="2781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18596E" id="_x0000_t202" coordsize="21600,21600" o:spt="202" path="m,l,21600r21600,l21600,xe">
                      <v:stroke joinstyle="miter"/>
                      <v:path gradientshapeok="t" o:connecttype="rect"/>
                    </v:shapetype>
                    <v:shape id="Text Box 29" o:spid="_x0000_s1026" type="#_x0000_t202" style="position:absolute;left:0;text-align:left;margin-left:164.65pt;margin-top:-16.35pt;width:153.6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" fillcolor="white [3201]" stroked="f" strokeweight=".5pt">
                      <v:textbox>
                        <w:txbxContent>
                          <w:p w14:paraId="2D2B852C" w14:textId="28EE286F" w:rsidR="004B62E0" w:rsidRDefault="004B62E0">
                            <w:r>
                              <w:rPr>
                                <w:noProof/>
                              </w:rPr>
                              <w:drawing>
                                <wp:inline distT="0" distB="0" distL="0" distR="0" wp14:anchorId="5391E3F1" wp14:editId="596605DC">
                                  <wp:extent cx="1761490" cy="278157"/>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JFS Logo.gif"/>
                                          <pic:cNvPicPr/>
                                        </pic:nvPicPr>
                                        <pic:blipFill>
                                          <a:blip r:embed="rId2">
                                            <a:extLst>
                                              <a:ext uri="{28A0092B-C50C-407E-A947-70E740481C1C}">
                                                <a14:useLocalDpi xmlns:a14="http://schemas.microsoft.com/office/drawing/2010/main" val="0"/>
                                              </a:ext>
                                            </a:extLst>
                                          </a:blip>
                                          <a:stretch>
                                            <a:fillRect/>
                                          </a:stretch>
                                        </pic:blipFill>
                                        <pic:spPr>
                                          <a:xfrm>
                                            <a:off x="0" y="0"/>
                                            <a:ext cx="1761490" cy="278157"/>
                                          </a:xfrm>
                                          <a:prstGeom prst="rect">
                                            <a:avLst/>
                                          </a:prstGeom>
                                        </pic:spPr>
                                      </pic:pic>
                                    </a:graphicData>
                                  </a:graphic>
                                </wp:inline>
                              </w:drawing>
                            </w:r>
                          </w:p>
                        </w:txbxContent>
                      </v:textbox>
                    </v:shape>
                  </w:pict>
                </mc:Fallback>
              </mc:AlternateContent>
            </w:r>
            <w:r w:rsidR="00B643B7">
              <w:t xml:space="preserve">Page </w:t>
            </w:r>
            <w:r w:rsidR="00B643B7">
              <w:rPr>
                <w:b/>
                <w:bCs/>
                <w:sz w:val="24"/>
                <w:szCs w:val="24"/>
              </w:rPr>
              <w:fldChar w:fldCharType="begin"/>
            </w:r>
            <w:r w:rsidR="00B643B7">
              <w:rPr>
                <w:b/>
                <w:bCs/>
              </w:rPr>
              <w:instrText xml:space="preserve"> PAGE </w:instrText>
            </w:r>
            <w:r w:rsidR="00B643B7">
              <w:rPr>
                <w:b/>
                <w:bCs/>
                <w:sz w:val="24"/>
                <w:szCs w:val="24"/>
              </w:rPr>
              <w:fldChar w:fldCharType="separate"/>
            </w:r>
            <w:r w:rsidR="00B643B7">
              <w:rPr>
                <w:b/>
                <w:bCs/>
                <w:noProof/>
              </w:rPr>
              <w:t>2</w:t>
            </w:r>
            <w:r w:rsidR="00B643B7">
              <w:rPr>
                <w:b/>
                <w:bCs/>
                <w:sz w:val="24"/>
                <w:szCs w:val="24"/>
              </w:rPr>
              <w:fldChar w:fldCharType="end"/>
            </w:r>
            <w:r w:rsidR="00B643B7">
              <w:t xml:space="preserve"> of </w:t>
            </w:r>
            <w:r w:rsidR="00B643B7">
              <w:rPr>
                <w:b/>
                <w:bCs/>
                <w:sz w:val="24"/>
                <w:szCs w:val="24"/>
              </w:rPr>
              <w:fldChar w:fldCharType="begin"/>
            </w:r>
            <w:r w:rsidR="00B643B7">
              <w:rPr>
                <w:b/>
                <w:bCs/>
              </w:rPr>
              <w:instrText xml:space="preserve"> NUMPAGES  </w:instrText>
            </w:r>
            <w:r w:rsidR="00B643B7">
              <w:rPr>
                <w:b/>
                <w:bCs/>
                <w:sz w:val="24"/>
                <w:szCs w:val="24"/>
              </w:rPr>
              <w:fldChar w:fldCharType="separate"/>
            </w:r>
            <w:r w:rsidR="00B643B7">
              <w:rPr>
                <w:b/>
                <w:bCs/>
                <w:noProof/>
              </w:rPr>
              <w:t>2</w:t>
            </w:r>
            <w:r w:rsidR="00B643B7">
              <w:rPr>
                <w:b/>
                <w:bCs/>
                <w:sz w:val="24"/>
                <w:szCs w:val="24"/>
              </w:rPr>
              <w:fldChar w:fldCharType="end"/>
            </w:r>
          </w:p>
        </w:sdtContent>
      </w:sdt>
    </w:sdtContent>
  </w:sdt>
  <w:p w14:paraId="5B971DF0" w14:textId="48B9D152" w:rsidR="00B643B7" w:rsidRDefault="00B643B7" w:rsidP="00B643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2E7C" w14:textId="77777777" w:rsidR="00B643B7" w:rsidRDefault="00B643B7" w:rsidP="00B643B7">
      <w:pPr>
        <w:spacing w:after="0" w:line="240" w:lineRule="auto"/>
      </w:pPr>
      <w:r>
        <w:separator/>
      </w:r>
    </w:p>
  </w:footnote>
  <w:footnote w:type="continuationSeparator" w:id="0">
    <w:p w14:paraId="1981A6B8" w14:textId="77777777" w:rsidR="00B643B7" w:rsidRDefault="00B643B7" w:rsidP="00B6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1E3F" w14:textId="77777777" w:rsidR="005E3A11" w:rsidRDefault="00292D86" w:rsidP="00292D86">
    <w:pPr>
      <w:pStyle w:val="Header"/>
      <w:jc w:val="center"/>
      <w:rPr>
        <w:rFonts w:ascii="Times New Roman" w:hAnsi="Times New Roman" w:cs="Times New Roman"/>
        <w:sz w:val="28"/>
        <w:szCs w:val="28"/>
      </w:rPr>
    </w:pPr>
    <w:r w:rsidRPr="00292D86">
      <w:rPr>
        <w:rFonts w:ascii="Times New Roman" w:hAnsi="Times New Roman" w:cs="Times New Roman"/>
        <w:sz w:val="28"/>
        <w:szCs w:val="28"/>
      </w:rPr>
      <w:t xml:space="preserve">Measures of Performance </w:t>
    </w:r>
  </w:p>
  <w:p w14:paraId="6B12E7B2" w14:textId="2154B6E4" w:rsidR="00292D86" w:rsidRPr="00292D86" w:rsidRDefault="00292D86" w:rsidP="00292D86">
    <w:pPr>
      <w:pStyle w:val="Header"/>
      <w:jc w:val="center"/>
      <w:rPr>
        <w:rFonts w:ascii="Times New Roman" w:hAnsi="Times New Roman" w:cs="Times New Roman"/>
        <w:sz w:val="28"/>
        <w:szCs w:val="28"/>
      </w:rPr>
    </w:pPr>
    <w:r w:rsidRPr="00292D86">
      <w:rPr>
        <w:rFonts w:ascii="Times New Roman" w:hAnsi="Times New Roman" w:cs="Times New Roman"/>
        <w:sz w:val="28"/>
        <w:szCs w:val="28"/>
      </w:rPr>
      <w:t>Definitions</w:t>
    </w:r>
  </w:p>
  <w:p w14:paraId="66F520B1" w14:textId="77777777" w:rsidR="00F2592C" w:rsidRDefault="00F2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34445"/>
    <w:multiLevelType w:val="hybridMultilevel"/>
    <w:tmpl w:val="8EB4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923ED"/>
    <w:multiLevelType w:val="hybridMultilevel"/>
    <w:tmpl w:val="83E45F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D7E0D"/>
    <w:multiLevelType w:val="hybridMultilevel"/>
    <w:tmpl w:val="0B0E6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33366"/>
    <w:multiLevelType w:val="hybridMultilevel"/>
    <w:tmpl w:val="FD58C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AD"/>
    <w:rsid w:val="00022FD1"/>
    <w:rsid w:val="000B2113"/>
    <w:rsid w:val="000C51B8"/>
    <w:rsid w:val="001113ED"/>
    <w:rsid w:val="0012581E"/>
    <w:rsid w:val="00171A0E"/>
    <w:rsid w:val="00177B5E"/>
    <w:rsid w:val="001A063E"/>
    <w:rsid w:val="001A676D"/>
    <w:rsid w:val="001A79FD"/>
    <w:rsid w:val="001D1176"/>
    <w:rsid w:val="001D6DCB"/>
    <w:rsid w:val="00204DF9"/>
    <w:rsid w:val="00233654"/>
    <w:rsid w:val="00234F22"/>
    <w:rsid w:val="0023663B"/>
    <w:rsid w:val="0024618D"/>
    <w:rsid w:val="0025475D"/>
    <w:rsid w:val="00274B5E"/>
    <w:rsid w:val="00291B42"/>
    <w:rsid w:val="00292D86"/>
    <w:rsid w:val="002A0F3C"/>
    <w:rsid w:val="002B60C5"/>
    <w:rsid w:val="002E398F"/>
    <w:rsid w:val="002E46FC"/>
    <w:rsid w:val="003037B2"/>
    <w:rsid w:val="00322B69"/>
    <w:rsid w:val="00325BA7"/>
    <w:rsid w:val="00380BDA"/>
    <w:rsid w:val="003909B0"/>
    <w:rsid w:val="00392F05"/>
    <w:rsid w:val="003A3D7A"/>
    <w:rsid w:val="003F111A"/>
    <w:rsid w:val="00435805"/>
    <w:rsid w:val="004A1249"/>
    <w:rsid w:val="004B62E0"/>
    <w:rsid w:val="004C2A75"/>
    <w:rsid w:val="004D3939"/>
    <w:rsid w:val="004E61ED"/>
    <w:rsid w:val="00500AA0"/>
    <w:rsid w:val="00502457"/>
    <w:rsid w:val="00506DF6"/>
    <w:rsid w:val="0051130E"/>
    <w:rsid w:val="005211B3"/>
    <w:rsid w:val="0055299C"/>
    <w:rsid w:val="00555FBC"/>
    <w:rsid w:val="00567111"/>
    <w:rsid w:val="005674AD"/>
    <w:rsid w:val="005724AE"/>
    <w:rsid w:val="005D0E22"/>
    <w:rsid w:val="005D3152"/>
    <w:rsid w:val="005E326F"/>
    <w:rsid w:val="005E3A11"/>
    <w:rsid w:val="00611504"/>
    <w:rsid w:val="00647FF5"/>
    <w:rsid w:val="0069152B"/>
    <w:rsid w:val="006A1589"/>
    <w:rsid w:val="006B787F"/>
    <w:rsid w:val="006C4275"/>
    <w:rsid w:val="006F7D00"/>
    <w:rsid w:val="00707989"/>
    <w:rsid w:val="00725D34"/>
    <w:rsid w:val="00737BA8"/>
    <w:rsid w:val="00737D18"/>
    <w:rsid w:val="00790750"/>
    <w:rsid w:val="007B26ED"/>
    <w:rsid w:val="007C3D12"/>
    <w:rsid w:val="00804F99"/>
    <w:rsid w:val="0082243B"/>
    <w:rsid w:val="008333FC"/>
    <w:rsid w:val="00834C10"/>
    <w:rsid w:val="00847BF6"/>
    <w:rsid w:val="00852357"/>
    <w:rsid w:val="00853B54"/>
    <w:rsid w:val="008D12B6"/>
    <w:rsid w:val="008F5F71"/>
    <w:rsid w:val="0090446C"/>
    <w:rsid w:val="00911432"/>
    <w:rsid w:val="00937ADD"/>
    <w:rsid w:val="00941EB1"/>
    <w:rsid w:val="00943BBD"/>
    <w:rsid w:val="009632D9"/>
    <w:rsid w:val="00976922"/>
    <w:rsid w:val="00982A7D"/>
    <w:rsid w:val="009920DE"/>
    <w:rsid w:val="00994350"/>
    <w:rsid w:val="009A3298"/>
    <w:rsid w:val="009A69E5"/>
    <w:rsid w:val="009D6016"/>
    <w:rsid w:val="00A15C73"/>
    <w:rsid w:val="00A319C8"/>
    <w:rsid w:val="00A76A96"/>
    <w:rsid w:val="00A95F88"/>
    <w:rsid w:val="00A96621"/>
    <w:rsid w:val="00AA3AF3"/>
    <w:rsid w:val="00AA7AC6"/>
    <w:rsid w:val="00B15B10"/>
    <w:rsid w:val="00B643B7"/>
    <w:rsid w:val="00B80ECC"/>
    <w:rsid w:val="00B94A8D"/>
    <w:rsid w:val="00BA2316"/>
    <w:rsid w:val="00BC04E8"/>
    <w:rsid w:val="00BC24C2"/>
    <w:rsid w:val="00BC6942"/>
    <w:rsid w:val="00C00205"/>
    <w:rsid w:val="00C32C82"/>
    <w:rsid w:val="00C36584"/>
    <w:rsid w:val="00C764B4"/>
    <w:rsid w:val="00C76521"/>
    <w:rsid w:val="00C84ABB"/>
    <w:rsid w:val="00C9580F"/>
    <w:rsid w:val="00CA74E7"/>
    <w:rsid w:val="00CC0A7B"/>
    <w:rsid w:val="00CD2AF2"/>
    <w:rsid w:val="00CD671C"/>
    <w:rsid w:val="00CE0AE1"/>
    <w:rsid w:val="00CE18D1"/>
    <w:rsid w:val="00CE7461"/>
    <w:rsid w:val="00CF152D"/>
    <w:rsid w:val="00CF32C4"/>
    <w:rsid w:val="00D10910"/>
    <w:rsid w:val="00D23E75"/>
    <w:rsid w:val="00D316EB"/>
    <w:rsid w:val="00D57068"/>
    <w:rsid w:val="00D811BE"/>
    <w:rsid w:val="00D84008"/>
    <w:rsid w:val="00D87C2F"/>
    <w:rsid w:val="00DB231F"/>
    <w:rsid w:val="00DD2F53"/>
    <w:rsid w:val="00DD5454"/>
    <w:rsid w:val="00E06340"/>
    <w:rsid w:val="00E074D6"/>
    <w:rsid w:val="00E11E49"/>
    <w:rsid w:val="00E16305"/>
    <w:rsid w:val="00E226FA"/>
    <w:rsid w:val="00E32882"/>
    <w:rsid w:val="00E45170"/>
    <w:rsid w:val="00E711A4"/>
    <w:rsid w:val="00E915D8"/>
    <w:rsid w:val="00EB2391"/>
    <w:rsid w:val="00EB36A0"/>
    <w:rsid w:val="00EC439D"/>
    <w:rsid w:val="00ED362A"/>
    <w:rsid w:val="00EF05C7"/>
    <w:rsid w:val="00EF7B96"/>
    <w:rsid w:val="00F0296E"/>
    <w:rsid w:val="00F03713"/>
    <w:rsid w:val="00F06047"/>
    <w:rsid w:val="00F2592C"/>
    <w:rsid w:val="00F333F6"/>
    <w:rsid w:val="00F338ED"/>
    <w:rsid w:val="00F36D94"/>
    <w:rsid w:val="00F54077"/>
    <w:rsid w:val="00F65C0F"/>
    <w:rsid w:val="00F71C04"/>
    <w:rsid w:val="00FA1136"/>
    <w:rsid w:val="00FC2C55"/>
    <w:rsid w:val="00FD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D1629"/>
  <w15:chartTrackingRefBased/>
  <w15:docId w15:val="{1A6B8B2F-D11B-4C61-AB90-2785BE2B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AD"/>
    <w:pPr>
      <w:ind w:left="720"/>
      <w:contextualSpacing/>
    </w:pPr>
  </w:style>
  <w:style w:type="paragraph" w:styleId="BalloonText">
    <w:name w:val="Balloon Text"/>
    <w:basedOn w:val="Normal"/>
    <w:link w:val="BalloonTextChar"/>
    <w:uiPriority w:val="99"/>
    <w:semiHidden/>
    <w:unhideWhenUsed/>
    <w:rsid w:val="00E9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D8"/>
    <w:rPr>
      <w:rFonts w:ascii="Segoe UI" w:hAnsi="Segoe UI" w:cs="Segoe UI"/>
      <w:sz w:val="18"/>
      <w:szCs w:val="18"/>
    </w:rPr>
  </w:style>
  <w:style w:type="paragraph" w:styleId="Header">
    <w:name w:val="header"/>
    <w:basedOn w:val="Normal"/>
    <w:link w:val="HeaderChar"/>
    <w:uiPriority w:val="99"/>
    <w:unhideWhenUsed/>
    <w:rsid w:val="00B64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B7"/>
  </w:style>
  <w:style w:type="paragraph" w:styleId="Footer">
    <w:name w:val="footer"/>
    <w:basedOn w:val="Normal"/>
    <w:link w:val="FooterChar"/>
    <w:uiPriority w:val="99"/>
    <w:unhideWhenUsed/>
    <w:rsid w:val="00B64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8607">
      <w:bodyDiv w:val="1"/>
      <w:marLeft w:val="0"/>
      <w:marRight w:val="0"/>
      <w:marTop w:val="0"/>
      <w:marBottom w:val="0"/>
      <w:divBdr>
        <w:top w:val="none" w:sz="0" w:space="0" w:color="auto"/>
        <w:left w:val="none" w:sz="0" w:space="0" w:color="auto"/>
        <w:bottom w:val="none" w:sz="0" w:space="0" w:color="auto"/>
        <w:right w:val="none" w:sz="0" w:space="0" w:color="auto"/>
      </w:divBdr>
    </w:div>
    <w:div w:id="342124160">
      <w:bodyDiv w:val="1"/>
      <w:marLeft w:val="0"/>
      <w:marRight w:val="0"/>
      <w:marTop w:val="0"/>
      <w:marBottom w:val="0"/>
      <w:divBdr>
        <w:top w:val="none" w:sz="0" w:space="0" w:color="auto"/>
        <w:left w:val="none" w:sz="0" w:space="0" w:color="auto"/>
        <w:bottom w:val="none" w:sz="0" w:space="0" w:color="auto"/>
        <w:right w:val="none" w:sz="0" w:space="0" w:color="auto"/>
      </w:divBdr>
    </w:div>
    <w:div w:id="461386369">
      <w:bodyDiv w:val="1"/>
      <w:marLeft w:val="0"/>
      <w:marRight w:val="0"/>
      <w:marTop w:val="0"/>
      <w:marBottom w:val="0"/>
      <w:divBdr>
        <w:top w:val="none" w:sz="0" w:space="0" w:color="auto"/>
        <w:left w:val="none" w:sz="0" w:space="0" w:color="auto"/>
        <w:bottom w:val="none" w:sz="0" w:space="0" w:color="auto"/>
        <w:right w:val="none" w:sz="0" w:space="0" w:color="auto"/>
      </w:divBdr>
    </w:div>
    <w:div w:id="503202196">
      <w:bodyDiv w:val="1"/>
      <w:marLeft w:val="0"/>
      <w:marRight w:val="0"/>
      <w:marTop w:val="0"/>
      <w:marBottom w:val="0"/>
      <w:divBdr>
        <w:top w:val="none" w:sz="0" w:space="0" w:color="auto"/>
        <w:left w:val="none" w:sz="0" w:space="0" w:color="auto"/>
        <w:bottom w:val="none" w:sz="0" w:space="0" w:color="auto"/>
        <w:right w:val="none" w:sz="0" w:space="0" w:color="auto"/>
      </w:divBdr>
    </w:div>
    <w:div w:id="1121344750">
      <w:bodyDiv w:val="1"/>
      <w:marLeft w:val="0"/>
      <w:marRight w:val="0"/>
      <w:marTop w:val="0"/>
      <w:marBottom w:val="0"/>
      <w:divBdr>
        <w:top w:val="none" w:sz="0" w:space="0" w:color="auto"/>
        <w:left w:val="none" w:sz="0" w:space="0" w:color="auto"/>
        <w:bottom w:val="none" w:sz="0" w:space="0" w:color="auto"/>
        <w:right w:val="none" w:sz="0" w:space="0" w:color="auto"/>
      </w:divBdr>
    </w:div>
    <w:div w:id="1387416873">
      <w:bodyDiv w:val="1"/>
      <w:marLeft w:val="0"/>
      <w:marRight w:val="0"/>
      <w:marTop w:val="0"/>
      <w:marBottom w:val="0"/>
      <w:divBdr>
        <w:top w:val="none" w:sz="0" w:space="0" w:color="auto"/>
        <w:left w:val="none" w:sz="0" w:space="0" w:color="auto"/>
        <w:bottom w:val="none" w:sz="0" w:space="0" w:color="auto"/>
        <w:right w:val="none" w:sz="0" w:space="0" w:color="auto"/>
      </w:divBdr>
    </w:div>
    <w:div w:id="1487432656">
      <w:bodyDiv w:val="1"/>
      <w:marLeft w:val="0"/>
      <w:marRight w:val="0"/>
      <w:marTop w:val="0"/>
      <w:marBottom w:val="0"/>
      <w:divBdr>
        <w:top w:val="none" w:sz="0" w:space="0" w:color="auto"/>
        <w:left w:val="none" w:sz="0" w:space="0" w:color="auto"/>
        <w:bottom w:val="none" w:sz="0" w:space="0" w:color="auto"/>
        <w:right w:val="none" w:sz="0" w:space="0" w:color="auto"/>
      </w:divBdr>
    </w:div>
    <w:div w:id="1793747778">
      <w:bodyDiv w:val="1"/>
      <w:marLeft w:val="0"/>
      <w:marRight w:val="0"/>
      <w:marTop w:val="0"/>
      <w:marBottom w:val="0"/>
      <w:divBdr>
        <w:top w:val="none" w:sz="0" w:space="0" w:color="auto"/>
        <w:left w:val="none" w:sz="0" w:space="0" w:color="auto"/>
        <w:bottom w:val="none" w:sz="0" w:space="0" w:color="auto"/>
        <w:right w:val="none" w:sz="0" w:space="0" w:color="auto"/>
      </w:divBdr>
    </w:div>
    <w:div w:id="2034837290">
      <w:bodyDiv w:val="1"/>
      <w:marLeft w:val="0"/>
      <w:marRight w:val="0"/>
      <w:marTop w:val="0"/>
      <w:marBottom w:val="0"/>
      <w:divBdr>
        <w:top w:val="none" w:sz="0" w:space="0" w:color="auto"/>
        <w:left w:val="none" w:sz="0" w:space="0" w:color="auto"/>
        <w:bottom w:val="none" w:sz="0" w:space="0" w:color="auto"/>
        <w:right w:val="none" w:sz="0" w:space="0" w:color="auto"/>
      </w:divBdr>
    </w:div>
    <w:div w:id="21198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D142A07DBC645BB99EDF0C01F32DC" ma:contentTypeVersion="8" ma:contentTypeDescription="Create a new document." ma:contentTypeScope="" ma:versionID="5b0ff3ec108ef8e360e55261ecc4d8dc">
  <xsd:schema xmlns:xsd="http://www.w3.org/2001/XMLSchema" xmlns:xs="http://www.w3.org/2001/XMLSchema" xmlns:p="http://schemas.microsoft.com/office/2006/metadata/properties" xmlns:ns3="da63912f-ce4d-4e74-92f0-ae9edfdfc288" targetNamespace="http://schemas.microsoft.com/office/2006/metadata/properties" ma:root="true" ma:fieldsID="dea5cde8131e0d281bcebf862ead73da" ns3:_="">
    <xsd:import namespace="da63912f-ce4d-4e74-92f0-ae9edfdf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912f-ce4d-4e74-92f0-ae9edfdf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12C7C-68B6-41E2-8383-08C7DF31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912f-ce4d-4e74-92f0-ae9edfdf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2385B-FE0F-45BE-B1DF-3A95C6D47703}">
  <ds:schemaRefs>
    <ds:schemaRef ds:uri="http://purl.org/dc/elements/1.1/"/>
    <ds:schemaRef ds:uri="http://schemas.microsoft.com/office/2006/metadata/properties"/>
    <ds:schemaRef ds:uri="da63912f-ce4d-4e74-92f0-ae9edfdfc2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730942-EAE7-4469-9FB8-0EE571312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Christopher</dc:creator>
  <cp:keywords/>
  <dc:description/>
  <cp:lastModifiedBy>Jennifer L Watson</cp:lastModifiedBy>
  <cp:revision>3</cp:revision>
  <cp:lastPrinted>2019-09-18T13:30:00Z</cp:lastPrinted>
  <dcterms:created xsi:type="dcterms:W3CDTF">2019-11-18T20:13:00Z</dcterms:created>
  <dcterms:modified xsi:type="dcterms:W3CDTF">2019-11-18T20:14:00Z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0x010100371D142A07DBC645BB99EDF0C01F32DC</vt:lpwstr>
  </property>
</Properties>
</file>